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4A24E" w:sz="6" w:space="8"/>
        </w:pBdr>
        <w:spacing w:after="300"/>
      </w:pPr>
      <w:r>
        <w:rPr>
          <w:rFonts w:ascii="Arial" w:cs="Arial" w:eastAsia="Arial" w:hAnsi="Arial"/>
          <w:b/>
          <w:bCs/>
          <w:color w:val="D4A24E"/>
          <w:spacing w:val="80"/>
          <w:sz w:val="14"/>
          <w:szCs w:val="14"/>
        </w:rPr>
        <w:t xml:space="preserve">TAX THE TOKENS  |  OP-ED TEMPLATE</w:t>
      </w:r>
    </w:p>
    <w:p>
      <w:pPr>
        <w:pStyle w:val="Heading1"/>
      </w:pPr>
      <w:r>
        <w:t xml:space="preserve">Op-Ed Template: General Audience</w:t>
      </w:r>
    </w:p>
    <w:p>
      <w:pPr>
        <w:spacing w:after="300"/>
      </w:pPr>
      <w:r>
        <w:rPr>
          <w:i/>
          <w:iCs/>
          <w:color w:val="6B6560"/>
          <w:sz w:val="20"/>
          <w:szCs w:val="20"/>
        </w:rPr>
        <w:t xml:space="preserve">Customize this template for your publication. Replace [bracketed text] with your own language. Adjust the framing for your audience.</w:t>
      </w:r>
    </w:p>
    <w:p>
      <w:pPr>
        <w:pStyle w:val="Heading2"/>
      </w:pPr>
      <w:r>
        <w:t xml:space="preserve">Suggested Headline</w:t>
      </w:r>
    </w:p>
    <w:p>
      <w:pPr>
        <w:spacing w:after="80"/>
      </w:pPr>
      <w:r>
        <w:rPr>
          <w:sz w:val="22"/>
          <w:szCs w:val="22"/>
        </w:rPr>
        <w:t xml:space="preserve">[Your headline here. Suggestions below:]</w:t>
      </w:r>
    </w:p>
    <w:p>
      <w:pPr>
        <w:spacing w:after="60"/>
        <w:ind w:left="360"/>
      </w:pPr>
      <w:r>
        <w:rPr>
          <w:sz w:val="22"/>
          <w:szCs w:val="22"/>
        </w:rPr>
        <w:t xml:space="preserve">•  "AI Is the New Electricity. Why Aren’t We Taxing It?"</w:t>
      </w:r>
    </w:p>
    <w:p>
      <w:pPr>
        <w:spacing w:after="60"/>
        <w:ind w:left="360"/>
      </w:pPr>
      <w:r>
        <w:rPr>
          <w:sz w:val="22"/>
          <w:szCs w:val="22"/>
        </w:rPr>
        <w:t xml:space="preserve">•  "The Algorithm Won’t Tax Itself"</w:t>
      </w:r>
    </w:p>
    <w:p>
      <w:pPr>
        <w:spacing w:after="200"/>
        <w:ind w:left="360"/>
      </w:pPr>
      <w:r>
        <w:rPr>
          <w:sz w:val="22"/>
          <w:szCs w:val="22"/>
        </w:rPr>
        <w:t xml:space="preserve">•  "It’s Time to Treat Intelligence Like the Utility It Is"</w:t>
      </w:r>
    </w:p>
    <w:p>
      <w:pPr>
        <w:pStyle w:val="Heading2"/>
      </w:pPr>
      <w:r>
        <w:t xml:space="preserve">Opening (The Hook)</w:t>
      </w:r>
    </w:p>
    <w:p>
      <w:pPr>
        <w:spacing w:after="100"/>
      </w:pPr>
      <w:r>
        <w:rPr>
          <w:sz w:val="22"/>
          <w:szCs w:val="22"/>
        </w:rPr>
        <w:t xml:space="preserve">[Start with a concrete example your audience will relate to. Examples:]</w:t>
      </w:r>
    </w:p>
    <w:p>
      <w:pPr>
        <w:spacing w:after="100"/>
        <w:ind w:left="360"/>
      </w:pPr>
      <w:r>
        <w:rPr>
          <w:i/>
          <w:iCs/>
          <w:color w:val="6B6560"/>
          <w:sz w:val="22"/>
          <w:szCs w:val="22"/>
        </w:rPr>
        <w:t xml:space="preserve">"Every time you ask an AI a question, a token is born. It lives for milliseconds. It costs fractions of a cent. And it generates enormous value for the companies that control the pipes."</w:t>
      </w:r>
    </w:p>
    <w:p>
      <w:pPr>
        <w:spacing w:after="200"/>
      </w:pPr>
      <w:r>
        <w:rPr>
          <w:sz w:val="22"/>
          <w:szCs w:val="22"/>
        </w:rPr>
        <w:t xml:space="preserve">[Then pivot to the scale: trillions of tokens, handful of companies, zero public oversight.]</w:t>
      </w:r>
    </w:p>
    <w:p>
      <w:pPr>
        <w:pStyle w:val="Heading2"/>
      </w:pPr>
      <w:r>
        <w:t xml:space="preserve">The Argument</w:t>
      </w:r>
    </w:p>
    <w:p>
      <w:pPr>
        <w:spacing w:after="100"/>
      </w:pPr>
      <w:r>
        <w:rPr>
          <w:sz w:val="22"/>
          <w:szCs w:val="22"/>
        </w:rPr>
        <w:t xml:space="preserve">[Build your case using 2-3 of these angles:]</w:t>
      </w:r>
    </w:p>
    <w:p>
      <w:pPr>
        <w:spacing w:after="60"/>
        <w:ind w:left="360"/>
      </w:pPr>
      <w:r>
        <w:rPr>
          <w:sz w:val="22"/>
          <w:szCs w:val="22"/>
        </w:rPr>
        <w:t xml:space="preserve">•  The utility analogy: electricity, water, telecom all came under public oversight</w:t>
      </w:r>
    </w:p>
    <w:p>
      <w:pPr>
        <w:spacing w:after="60"/>
        <w:ind w:left="360"/>
      </w:pPr>
      <w:r>
        <w:rPr>
          <w:sz w:val="22"/>
          <w:szCs w:val="22"/>
        </w:rPr>
        <w:t xml:space="preserve">•  The public investment angle: AI was built on publicly funded research and data</w:t>
      </w:r>
    </w:p>
    <w:p>
      <w:pPr>
        <w:spacing w:after="60"/>
        <w:ind w:left="360"/>
      </w:pPr>
      <w:r>
        <w:rPr>
          <w:sz w:val="22"/>
          <w:szCs w:val="22"/>
        </w:rPr>
        <w:t xml:space="preserve">•  The access crisis: AI is becoming essential but access is determined by ability to pay</w:t>
      </w:r>
    </w:p>
    <w:p>
      <w:pPr>
        <w:spacing w:after="200"/>
        <w:ind w:left="360"/>
      </w:pPr>
      <w:r>
        <w:rPr>
          <w:sz w:val="22"/>
          <w:szCs w:val="22"/>
        </w:rPr>
        <w:t xml:space="preserve">•  The innovation argument: the internet thrived BECAUSE of public investment, not despite it</w:t>
      </w:r>
    </w:p>
    <w:p>
      <w:pPr>
        <w:pStyle w:val="Heading2"/>
      </w:pPr>
      <w:r>
        <w:t xml:space="preserve">Acknowledge the Opposition</w:t>
      </w:r>
    </w:p>
    <w:p>
      <w:pPr>
        <w:spacing w:after="100"/>
      </w:pPr>
      <w:r>
        <w:rPr>
          <w:sz w:val="22"/>
          <w:szCs w:val="22"/>
        </w:rPr>
        <w:t xml:space="preserve">[Address the strongest counterarguments honestly. This builds credibility:]</w:t>
      </w:r>
    </w:p>
    <w:p>
      <w:pPr>
        <w:spacing w:after="60"/>
        <w:ind w:left="360"/>
      </w:pPr>
      <w:r>
        <w:rPr>
          <w:sz w:val="22"/>
          <w:szCs w:val="22"/>
        </w:rPr>
        <w:t xml:space="preserve">•  "Won’t this stifle innovation?" — Address with the internet/public investment parallel</w:t>
      </w:r>
    </w:p>
    <w:p>
      <w:pPr>
        <w:spacing w:after="60"/>
        <w:ind w:left="360"/>
      </w:pPr>
      <w:r>
        <w:rPr>
          <w:sz w:val="22"/>
          <w:szCs w:val="22"/>
        </w:rPr>
        <w:t xml:space="preserve">•  "Companies will move offshore" — Acknowledge, then note they need proximity, talent, legal systems</w:t>
      </w:r>
    </w:p>
    <w:p>
      <w:pPr>
        <w:spacing w:after="200"/>
        <w:ind w:left="360"/>
      </w:pPr>
      <w:r>
        <w:rPr>
          <w:sz w:val="22"/>
          <w:szCs w:val="22"/>
        </w:rPr>
        <w:t xml:space="preserve">•  "This is anti-tech" — Reframe as pro-infrastructure, pro-governance</w:t>
      </w:r>
    </w:p>
    <w:p>
      <w:pPr>
        <w:pStyle w:val="Heading2"/>
      </w:pPr>
      <w:r>
        <w:t xml:space="preserve">The Close</w:t>
      </w:r>
    </w:p>
    <w:p>
      <w:pPr>
        <w:spacing w:after="100"/>
      </w:pPr>
      <w:r>
        <w:rPr>
          <w:sz w:val="22"/>
          <w:szCs w:val="22"/>
        </w:rPr>
        <w:t xml:space="preserve">[End with a call to action. Options:]</w:t>
      </w:r>
    </w:p>
    <w:p>
      <w:pPr>
        <w:spacing w:after="60"/>
        <w:ind w:left="360"/>
      </w:pPr>
      <w:r>
        <w:rPr>
          <w:sz w:val="22"/>
          <w:szCs w:val="22"/>
        </w:rPr>
        <w:t xml:space="preserve">•  Direct readers to taxthetokens.org to sign the manifesto</w:t>
      </w:r>
    </w:p>
    <w:p>
      <w:pPr>
        <w:spacing w:after="60"/>
        <w:ind w:left="360"/>
      </w:pPr>
      <w:r>
        <w:rPr>
          <w:sz w:val="22"/>
          <w:szCs w:val="22"/>
        </w:rPr>
        <w:t xml:space="preserve">•  Call on specific actors (Congress, regulators, tech leaders) to act</w:t>
      </w:r>
    </w:p>
    <w:p>
      <w:pPr>
        <w:spacing w:after="200"/>
        <w:ind w:left="360"/>
      </w:pPr>
      <w:r>
        <w:rPr>
          <w:sz w:val="22"/>
          <w:szCs w:val="22"/>
        </w:rPr>
        <w:t xml:space="preserve">•  Frame inaction as the real risk: "The decisions being made right now will shape the next century"</w:t>
      </w:r>
    </w:p>
    <w:p>
      <w:pPr>
        <w:pBdr>
          <w:top w:val="single" w:color="E0E0E0" w:sz="4" w:space="8"/>
        </w:pBdr>
        <w:spacing w:before="200"/>
      </w:pPr>
      <w:r>
        <w:rPr>
          <w:i/>
          <w:iCs/>
          <w:color w:val="6B6560"/>
          <w:sz w:val="18"/>
          <w:szCs w:val="18"/>
        </w:rPr>
        <w:t xml:space="preserve">Word count target: 700-900 words. Most publications prefer 800.</w:t>
      </w:r>
    </w:p>
    <w:p>
      <w:pPr>
        <w:spacing w:after="100"/>
      </w:pPr>
      <w:r>
        <w:rPr>
          <w:color w:val="6B6560"/>
          <w:sz w:val="18"/>
          <w:szCs w:val="18"/>
        </w:rPr>
        <w:t xml:space="preserve">Questions? Contact press@taxthetokens.org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120"/>
      <w:outlineLvl w:val="0"/>
    </w:pPr>
    <w:rPr>
      <w:rFonts w:ascii="Arial" w:cs="Arial" w:eastAsia="Arial" w:hAnsi="Arial"/>
      <w:b/>
      <w:bCs/>
      <w:color w:val="0C1B33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0C1B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2026-03-15T06:02:00.309Z</dcterms:created>
  <dcterms:modified xsi:type="dcterms:W3CDTF">2026-03-15T06:02:00.309Z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